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C61E4A">
        <w:rPr>
          <w:rFonts w:eastAsia="Calibri"/>
          <w:b/>
          <w:color w:val="000000"/>
        </w:rPr>
        <w:t>5</w:t>
      </w:r>
      <w:r w:rsidR="003E5F38">
        <w:rPr>
          <w:rFonts w:eastAsia="Calibri"/>
          <w:b/>
          <w:color w:val="000000"/>
        </w:rPr>
        <w:t>07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C61E4A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C61E4A">
        <w:rPr>
          <w:rFonts w:ascii="Times New Roman" w:hAnsi="Times New Roman"/>
          <w:b w:val="0"/>
          <w:i w:val="0"/>
          <w:sz w:val="24"/>
          <w:szCs w:val="24"/>
        </w:rPr>
        <w:t>50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62017D">
        <w:rPr>
          <w:rFonts w:ascii="Times New Roman" w:hAnsi="Times New Roman"/>
          <w:b w:val="0"/>
          <w:i w:val="0"/>
          <w:sz w:val="24"/>
          <w:szCs w:val="24"/>
        </w:rPr>
        <w:t>16/</w:t>
      </w:r>
      <w:r w:rsidR="00C61E4A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 xml:space="preserve">. </w:t>
      </w:r>
      <w:r w:rsidR="0062017D">
        <w:t>16/</w:t>
      </w:r>
      <w:r w:rsidR="00C61E4A">
        <w:t>5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C61E4A">
        <w:t>102,0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62017D">
        <w:t>подвальный</w:t>
      </w:r>
      <w:r>
        <w:t xml:space="preserve">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62017D">
        <w:rPr>
          <w:sz w:val="24"/>
          <w:szCs w:val="24"/>
        </w:rPr>
        <w:t>в подвале</w:t>
      </w:r>
      <w:r>
        <w:rPr>
          <w:sz w:val="24"/>
          <w:szCs w:val="24"/>
        </w:rPr>
        <w:t xml:space="preserve">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 w:rsidR="0062017D">
        <w:rPr>
          <w:sz w:val="24"/>
          <w:szCs w:val="24"/>
        </w:rPr>
        <w:t xml:space="preserve">Естественного освещения в помещении нет.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62017D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772EE3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61E4A">
        <w:t>828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lastRenderedPageBreak/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C61E4A">
        <w:rPr>
          <w:b/>
        </w:rPr>
        <w:t>04</w:t>
      </w:r>
      <w:r w:rsidRPr="00137102">
        <w:rPr>
          <w:b/>
        </w:rPr>
        <w:t xml:space="preserve">» </w:t>
      </w:r>
      <w:r w:rsidR="0062017D">
        <w:rPr>
          <w:b/>
        </w:rPr>
        <w:t>ию</w:t>
      </w:r>
      <w:r w:rsidR="00C61E4A">
        <w:rPr>
          <w:b/>
        </w:rPr>
        <w:t>л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C61E4A">
        <w:rPr>
          <w:b/>
        </w:rPr>
        <w:t>17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2017D">
        <w:rPr>
          <w:b/>
        </w:rPr>
        <w:t>1</w:t>
      </w:r>
      <w:r w:rsidR="00C61E4A">
        <w:rPr>
          <w:b/>
        </w:rPr>
        <w:t>8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C61E4A">
        <w:rPr>
          <w:b/>
        </w:rPr>
        <w:t>6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C61E4A">
        <w:rPr>
          <w:b/>
        </w:rPr>
        <w:t>20</w:t>
      </w:r>
      <w:r w:rsidRPr="00137102">
        <w:rPr>
          <w:b/>
        </w:rPr>
        <w:t xml:space="preserve">» </w:t>
      </w:r>
      <w:r w:rsidR="0062017D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lastRenderedPageBreak/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</w:t>
      </w:r>
      <w:r w:rsidRPr="00E05FE0">
        <w:rPr>
          <w:bCs/>
          <w:sz w:val="24"/>
          <w:szCs w:val="24"/>
        </w:rPr>
        <w:lastRenderedPageBreak/>
        <w:t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61E4A">
        <w:rPr>
          <w:b/>
        </w:rPr>
        <w:t>82 8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61E4A">
        <w:rPr>
          <w:rFonts w:eastAsia="Calibri"/>
          <w:b/>
        </w:rPr>
        <w:t>восемьдесят две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C61E4A">
        <w:rPr>
          <w:rFonts w:eastAsia="Calibri"/>
          <w:b/>
        </w:rPr>
        <w:t>и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 xml:space="preserve">помещения № </w:t>
      </w:r>
      <w:r w:rsidR="0062017D">
        <w:t>16/</w:t>
      </w:r>
      <w:r w:rsidR="00C61E4A">
        <w:t>5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C61E4A">
        <w:rPr>
          <w:rFonts w:eastAsia="Calibri"/>
        </w:rPr>
        <w:t>1</w:t>
      </w:r>
      <w:r w:rsidR="00732681">
        <w:rPr>
          <w:b/>
        </w:rPr>
        <w:t>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32681">
        <w:rPr>
          <w:rFonts w:eastAsia="Calibri"/>
          <w:b/>
        </w:rPr>
        <w:t>пят</w:t>
      </w:r>
      <w:r w:rsidR="00C61E4A">
        <w:rPr>
          <w:rFonts w:eastAsia="Calibri"/>
          <w:b/>
        </w:rPr>
        <w:t>надцат</w:t>
      </w:r>
      <w:r w:rsidR="00831727">
        <w:rPr>
          <w:rFonts w:eastAsia="Calibri"/>
          <w:b/>
        </w:rPr>
        <w:t>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25FA9"/>
    <w:rsid w:val="00033B84"/>
    <w:rsid w:val="00033F8E"/>
    <w:rsid w:val="000355BF"/>
    <w:rsid w:val="00043C85"/>
    <w:rsid w:val="0005337A"/>
    <w:rsid w:val="00053585"/>
    <w:rsid w:val="00055446"/>
    <w:rsid w:val="00066402"/>
    <w:rsid w:val="00073962"/>
    <w:rsid w:val="0007505D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14C99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3FB1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A6EEC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27D16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5F38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017D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57BB"/>
    <w:rsid w:val="00755F54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B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E16D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49EC"/>
    <w:rsid w:val="00C457A2"/>
    <w:rsid w:val="00C46D9B"/>
    <w:rsid w:val="00C56079"/>
    <w:rsid w:val="00C61E4A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1E6E-A0A8-4F87-AC15-C01F9F98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5431</Words>
  <Characters>41784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2025-06-04T08:26:00Z</cp:lastPrinted>
  <dcterms:created xsi:type="dcterms:W3CDTF">2025-07-01T09:39:00Z</dcterms:created>
  <dcterms:modified xsi:type="dcterms:W3CDTF">2025-07-01T09:39:00Z</dcterms:modified>
</cp:coreProperties>
</file>